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32" w:rsidRPr="00C05F4F" w:rsidRDefault="00907DB0" w:rsidP="00907DB0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bookmarkStart w:id="0" w:name="_GoBack"/>
      <w:r w:rsidRPr="00C05F4F">
        <w:rPr>
          <w:rFonts w:ascii="Times New Roman" w:hAnsi="Times New Roman" w:cs="Times New Roman"/>
          <w:color w:val="002060"/>
          <w:sz w:val="24"/>
          <w:szCs w:val="24"/>
        </w:rPr>
        <w:t>9. Tétel</w:t>
      </w:r>
    </w:p>
    <w:p w:rsidR="00784258" w:rsidRPr="00C05F4F" w:rsidRDefault="00907DB0" w:rsidP="007B4F25">
      <w:pPr>
        <w:jc w:val="center"/>
        <w:rPr>
          <w:rFonts w:ascii="Times New Roman" w:hAnsi="Times New Roman" w:cs="Times New Roman"/>
          <w:b/>
          <w:color w:val="002060"/>
          <w:sz w:val="28"/>
          <w:szCs w:val="24"/>
        </w:rPr>
      </w:pPr>
      <w:proofErr w:type="gramStart"/>
      <w:r w:rsidRPr="00C05F4F">
        <w:rPr>
          <w:rFonts w:ascii="Times New Roman" w:hAnsi="Times New Roman" w:cs="Times New Roman"/>
          <w:b/>
          <w:color w:val="002060"/>
          <w:sz w:val="28"/>
          <w:szCs w:val="24"/>
        </w:rPr>
        <w:t>A  vállalkozás</w:t>
      </w:r>
      <w:proofErr w:type="gramEnd"/>
      <w:r w:rsidRPr="00C05F4F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finanszírozása, működése és vagyoni helyzetét befolyásoló tényezők</w:t>
      </w:r>
    </w:p>
    <w:p w:rsidR="007B4F25" w:rsidRPr="00C05F4F" w:rsidRDefault="007B4F25" w:rsidP="007B4F25">
      <w:pPr>
        <w:jc w:val="center"/>
        <w:rPr>
          <w:rFonts w:ascii="Times New Roman" w:hAnsi="Times New Roman" w:cs="Times New Roman"/>
          <w:b/>
          <w:color w:val="002060"/>
          <w:sz w:val="28"/>
          <w:szCs w:val="24"/>
        </w:rPr>
      </w:pPr>
    </w:p>
    <w:p w:rsidR="00907DB0" w:rsidRPr="00C05F4F" w:rsidRDefault="00784258" w:rsidP="00907DB0">
      <w:pPr>
        <w:rPr>
          <w:color w:val="002060"/>
        </w:rPr>
      </w:pPr>
      <w:r w:rsidRPr="00C05F4F">
        <w:rPr>
          <w:rFonts w:ascii="Calibri" w:eastAsia="Calibri" w:hAnsi="Calibri" w:cs="Times New Roman"/>
          <w:b/>
          <w:bCs/>
          <w:color w:val="002060"/>
        </w:rPr>
        <w:t>Vállalkozás:</w:t>
      </w:r>
      <w:r w:rsidRPr="00C05F4F">
        <w:rPr>
          <w:rFonts w:ascii="Calibri" w:eastAsia="Calibri" w:hAnsi="Calibri" w:cs="Times New Roman"/>
          <w:color w:val="002060"/>
        </w:rPr>
        <w:t xml:space="preserve"> a nyereség és vagyonszerzés érdekében üzletszerűen (és rendszeresen), ellenérték fejében végzett termelő vagy szolgáltató tevékenységet jelent.</w:t>
      </w:r>
    </w:p>
    <w:p w:rsidR="00907DB0" w:rsidRPr="00C05F4F" w:rsidRDefault="00907DB0" w:rsidP="00907DB0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05F4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Finanszírozás meghatározása: </w:t>
      </w:r>
    </w:p>
    <w:tbl>
      <w:tblPr>
        <w:tblW w:w="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05F4F" w:rsidRPr="00C05F4F" w:rsidTr="00907DB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07DB0" w:rsidRPr="00C05F4F" w:rsidRDefault="00907DB0" w:rsidP="009C602E">
            <w:pPr>
              <w:spacing w:after="240" w:line="225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A sikeres vállalkozás egyik feltétele a jó ötlet, elképzelés melyre a működés alapul. Az elképzelések önmagukban azonban nem sokat érnek, ha nem áll rendelkezésre a megvalósításukhoz szükséges anyagi forrás. Anyagi forrás alatt nem kizárólag készpénzt értünk, egy vállalkozás indításakor jól használhatóak a már korábban megszerzett, birtokolt javak, gépek, berendezések, termelőeszközök./apport/Minden vállalkozástípusnál lehetőség van arra, hogy ezeket a meglévő eszközöket a vállalkozásba, társaságba „bevigyük”, nem pénzbeli hozzájárulás formájában a társaság rendelkezésére bocsássuk.</w:t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  <w:t xml:space="preserve">Ugyanakkor egy vállalkozás indításakor mindenképpen szükség van több-kevesebb készpénzre is. </w:t>
            </w:r>
            <w:proofErr w:type="gramStart"/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Ennek egyrészt gyakorlati okai vannak, hiszen hiába a gép, berendezés, ha nincs pénz alapanyag vásárlásra, nem lehet fizetni a dolgozókat, a kész árut nem tudjuk rendeltetési helyére juttatni, mert képtelenek vagyunk a fuvardíjat kifizetni; egyszóval a termelés beindításához nem rendelkezünk elegendő forgóeszközzel./működés finanszírozása/</w:t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  <w:t>Az eszközök másik nagy csoportja a vállalkozásban használt tényleges eszközök – befektetett eszközök – melyek alatt a gépeket, berendezéseket, a vállalkozás tartósan használt vagyontárgyait értjük.</w:t>
            </w:r>
            <w:proofErr w:type="gramEnd"/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/eszköz finanszírozása/Főleg a </w:t>
            </w:r>
            <w:proofErr w:type="gramStart"/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befektetet</w:t>
            </w:r>
            <w:proofErr w:type="gramEnd"/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eszközök esetében fordul elő, hogy a vállalkozás indításakor az alapítók a már korábban megszerzett vagyontárgyaikat bocsátják mint vagyoni hozzájárulást a gazdasági társaság rendelkezésére.</w:t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</w:r>
            <w:r w:rsidRPr="00C05F4F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Fentiek alapján:</w:t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</w: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br/>
              <w:t>Finanszírozás alatt, a vállalkozáshoz szükséges tőke előteremtését értjük, amely történhet saját erőből (saját forrásból) és idegen források igénybevételével (külső finanszírozással).</w:t>
            </w:r>
          </w:p>
          <w:p w:rsidR="006E4000" w:rsidRPr="00C05F4F" w:rsidRDefault="006E4000" w:rsidP="009C602E">
            <w:pPr>
              <w:spacing w:after="240" w:line="225" w:lineRule="atLeas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A </w:t>
            </w:r>
            <w:proofErr w:type="spellStart"/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finaszírozás</w:t>
            </w:r>
            <w:proofErr w:type="spellEnd"/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forrásai:</w:t>
            </w:r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907DB0" w:rsidRPr="00C05F4F" w:rsidRDefault="006E4000" w:rsidP="009C602E">
            <w:pPr>
              <w:spacing w:after="240" w:line="225" w:lineRule="atLeas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 belső: saját finanszírozás</w:t>
            </w:r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br/>
              <w:t xml:space="preserve">- </w:t>
            </w:r>
            <w:proofErr w:type="spellStart"/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külős</w:t>
            </w:r>
            <w:proofErr w:type="spellEnd"/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</w:t>
            </w:r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  <w:u w:val="single"/>
              </w:rPr>
              <w:t>adósság</w:t>
            </w:r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 finanszírozás (pénzpiacról)</w:t>
            </w:r>
            <w:r w:rsidRPr="00C05F4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br/>
              <w:t>- külső vagyon (tőke) finanszírozás (tőkepiac)</w:t>
            </w:r>
          </w:p>
          <w:p w:rsidR="00907DB0" w:rsidRPr="00C05F4F" w:rsidRDefault="00907DB0" w:rsidP="009C602E">
            <w:pPr>
              <w:spacing w:after="240" w:line="225" w:lineRule="atLeas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7B4F25" w:rsidRPr="00C05F4F" w:rsidRDefault="007B4F25" w:rsidP="009C602E">
            <w:pPr>
              <w:spacing w:after="240" w:line="225" w:lineRule="atLeast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tbl>
            <w:tblPr>
              <w:tblW w:w="4408" w:type="dxa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8"/>
            </w:tblGrid>
            <w:tr w:rsidR="00C05F4F" w:rsidRPr="00C05F4F" w:rsidTr="009A063A">
              <w:trPr>
                <w:tblCellSpacing w:w="15" w:type="dxa"/>
              </w:trPr>
              <w:tc>
                <w:tcPr>
                  <w:tcW w:w="4932" w:type="pct"/>
                  <w:shd w:val="clear" w:color="auto" w:fill="FFFFFF"/>
                  <w:vAlign w:val="bottom"/>
                  <w:hideMark/>
                </w:tcPr>
                <w:p w:rsidR="006E4000" w:rsidRPr="00C05F4F" w:rsidRDefault="006E4000" w:rsidP="009A063A">
                  <w:pPr>
                    <w:spacing w:after="0" w:line="225" w:lineRule="atLeas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4"/>
                      <w:szCs w:val="24"/>
                    </w:rPr>
                  </w:pPr>
                  <w:r w:rsidRPr="00C05F4F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4"/>
                      <w:szCs w:val="24"/>
                    </w:rPr>
                    <w:t xml:space="preserve">A vállalkozások </w:t>
                  </w:r>
                  <w:r w:rsidR="009A063A" w:rsidRPr="00C05F4F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</w:rPr>
                    <w:t>működési feltételeinek</w:t>
                  </w:r>
                </w:p>
              </w:tc>
            </w:tr>
          </w:tbl>
          <w:p w:rsidR="006E4000" w:rsidRPr="00C05F4F" w:rsidRDefault="006E4000" w:rsidP="009C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9A063A" w:rsidRPr="00C05F4F" w:rsidRDefault="009A063A" w:rsidP="009A06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lastRenderedPageBreak/>
              <w:t>Erőforrások</w:t>
            </w:r>
          </w:p>
          <w:p w:rsidR="009A063A" w:rsidRPr="00C05F4F" w:rsidRDefault="009A063A" w:rsidP="009A063A">
            <w:pPr>
              <w:numPr>
                <w:ilvl w:val="0"/>
                <w:numId w:val="2"/>
              </w:numPr>
              <w:spacing w:before="120" w:after="120" w:line="240" w:lineRule="auto"/>
              <w:ind w:left="714" w:hanging="357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Befektetett eszközök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Immateriális javak- vagyoni értékek, vagyoni jogot megtestesítő forgalomképes értékek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Egy része bizonyíthatóan részt vesz a jövedelemtermelésben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Vagyoni értékű jogok (bérleti, használati jog)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Szellemi termékek- anyagtartalmuk kevés, vagy nincs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Alapítás, átszervezés, a kísérleti fejlesztések aktivált értéke – a jövőbeni használtóság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Áttételesen vesz részt a jövedelemtermelésben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Üzleti vagy cégérték – goodwill</w:t>
            </w:r>
            <w:r w:rsidRPr="00C05F4F">
              <w:rPr>
                <w:rFonts w:ascii="Tahoma" w:hAnsi="Tahoma" w:cs="Tahoma"/>
                <w:color w:val="002060"/>
              </w:rPr>
              <w:br/>
              <w:t>Pl. A vállalat bevezetettségének állapota. A jövőbeni haszon reményében fizetett többletérték.</w:t>
            </w:r>
          </w:p>
          <w:p w:rsidR="009A063A" w:rsidRPr="00C05F4F" w:rsidRDefault="009A063A" w:rsidP="009A063A">
            <w:pPr>
              <w:numPr>
                <w:ilvl w:val="0"/>
                <w:numId w:val="2"/>
              </w:numPr>
              <w:spacing w:before="120" w:after="120" w:line="240" w:lineRule="auto"/>
              <w:ind w:left="714" w:hanging="357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Tárgyi eszközök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Fajtája szerint: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Ingatlanok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Ingatlanhoz kapcsolódó vagyoni jogok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Műszaki berendezések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Egyéb berendezések, amelyek nem tartoznak az előző kategóriákhoz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Tenyészállatok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Beruházások – folyamatban lévő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Beruházásra adott előlegek</w:t>
            </w:r>
          </w:p>
          <w:p w:rsidR="009A063A" w:rsidRPr="00C05F4F" w:rsidRDefault="009A063A" w:rsidP="009A063A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Módja szerint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Új állapotban beszerzett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Használt állapotban beszerzett</w:t>
            </w:r>
          </w:p>
          <w:p w:rsidR="009A063A" w:rsidRPr="00C05F4F" w:rsidRDefault="009A063A" w:rsidP="009A063A">
            <w:pPr>
              <w:numPr>
                <w:ilvl w:val="2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Az immateriális javak, és a tárgyi eszközök aktiválási értéke a tényleges beszerzési, azaz a bruttó érték.</w:t>
            </w:r>
          </w:p>
          <w:p w:rsidR="009A063A" w:rsidRPr="00C05F4F" w:rsidRDefault="009A063A" w:rsidP="009A063A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 w:line="240" w:lineRule="auto"/>
              <w:ind w:left="714" w:hanging="357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Befektetett pénzügyi eszközök:</w:t>
            </w:r>
          </w:p>
          <w:p w:rsidR="009A063A" w:rsidRPr="00C05F4F" w:rsidRDefault="009A063A" w:rsidP="009A063A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Részesedések</w:t>
            </w:r>
          </w:p>
          <w:p w:rsidR="009A063A" w:rsidRPr="00C05F4F" w:rsidRDefault="009A063A" w:rsidP="009A063A">
            <w:pPr>
              <w:numPr>
                <w:ilvl w:val="2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Többségi 50% felett</w:t>
            </w:r>
          </w:p>
          <w:p w:rsidR="009A063A" w:rsidRPr="00C05F4F" w:rsidRDefault="009A063A" w:rsidP="009A063A">
            <w:pPr>
              <w:numPr>
                <w:ilvl w:val="2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Jelentős 25 és 50 % között</w:t>
            </w:r>
          </w:p>
          <w:p w:rsidR="009A063A" w:rsidRPr="00C05F4F" w:rsidRDefault="009A063A" w:rsidP="009A063A">
            <w:pPr>
              <w:numPr>
                <w:ilvl w:val="2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Meghatározó befolyás – Egy kézben van a szavazatok többsége. Ezzel a gazdasági döntésekre befolyással van.</w:t>
            </w:r>
          </w:p>
          <w:p w:rsidR="009A063A" w:rsidRPr="00C05F4F" w:rsidRDefault="009A063A" w:rsidP="009A063A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Aktív befektetés – hatást gyakorol a tevékenységre. A céget ellenőrzése alatt tartja.</w:t>
            </w:r>
          </w:p>
          <w:p w:rsidR="009A063A" w:rsidRPr="00C05F4F" w:rsidRDefault="009A063A" w:rsidP="009A063A">
            <w:pPr>
              <w:numPr>
                <w:ilvl w:val="2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Kisebbségi aktív – 20-50% között</w:t>
            </w:r>
          </w:p>
          <w:p w:rsidR="009A063A" w:rsidRPr="00C05F4F" w:rsidRDefault="009A063A" w:rsidP="009A063A">
            <w:pPr>
              <w:numPr>
                <w:ilvl w:val="2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Többségi aktív -50 % felett</w:t>
            </w:r>
          </w:p>
          <w:p w:rsidR="009A063A" w:rsidRPr="00C05F4F" w:rsidRDefault="009A063A" w:rsidP="009A063A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Passzív befektetés –osztalékot és nyereséget vár csak. Részesedése 20% alatt.</w:t>
            </w:r>
          </w:p>
          <w:p w:rsidR="009A063A" w:rsidRPr="00C05F4F" w:rsidRDefault="009A063A" w:rsidP="009A063A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Értékpapírok- vagyonnal kapcsolatos jogot képviselő forgalomképes közép, és hosszúlejáratú okiratok.</w:t>
            </w:r>
          </w:p>
          <w:p w:rsidR="009A063A" w:rsidRPr="00C05F4F" w:rsidRDefault="009A063A" w:rsidP="009A063A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Adott kölcsönök – tartós kamatjövedelem származik belőlük.</w:t>
            </w:r>
          </w:p>
          <w:p w:rsidR="009A063A" w:rsidRPr="00C05F4F" w:rsidRDefault="009A063A" w:rsidP="009A063A">
            <w:pPr>
              <w:spacing w:after="0" w:line="240" w:lineRule="auto"/>
              <w:rPr>
                <w:rFonts w:ascii="Tahoma" w:hAnsi="Tahoma" w:cs="Tahoma"/>
                <w:color w:val="002060"/>
              </w:rPr>
            </w:pPr>
            <w:r w:rsidRPr="00C05F4F">
              <w:rPr>
                <w:rFonts w:ascii="Tahoma" w:hAnsi="Tahoma" w:cs="Tahoma"/>
                <w:color w:val="002060"/>
              </w:rPr>
              <w:t>Hosszú lejáratú bankbetétek – tartós kamatjövedelem származik belőlük.</w:t>
            </w:r>
          </w:p>
          <w:p w:rsidR="009A063A" w:rsidRPr="00C05F4F" w:rsidRDefault="009A063A" w:rsidP="009A0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9A063A" w:rsidRPr="00C05F4F" w:rsidRDefault="009A063A" w:rsidP="009C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  <w:p w:rsidR="009A063A" w:rsidRPr="00C05F4F" w:rsidRDefault="009A063A" w:rsidP="009C602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2060"/>
                <w:sz w:val="24"/>
                <w:szCs w:val="24"/>
              </w:rPr>
            </w:pPr>
          </w:p>
          <w:tbl>
            <w:tblPr>
              <w:tblW w:w="0" w:type="dxa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12"/>
            </w:tblGrid>
            <w:tr w:rsidR="00C05F4F" w:rsidRPr="00C05F4F" w:rsidTr="006E400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6E4000" w:rsidRPr="00C05F4F" w:rsidRDefault="006E4000" w:rsidP="009C602E">
                  <w:pPr>
                    <w:spacing w:after="75" w:line="225" w:lineRule="atLeast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</w:pPr>
                  <w:r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t>A vállalkozási szféra működési feltételeinek szabályozása a ga</w:t>
                  </w:r>
                  <w:r w:rsidR="009C602E"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t>zdaság-szabályozás legfontosabb eleme.</w:t>
                  </w:r>
                  <w:r w:rsidR="009C602E"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br/>
                  </w:r>
                  <w:r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lastRenderedPageBreak/>
                    <w:t>Ez a szabályozás irányulhat közvetlenül a vállalkozások működésére. Ennek az eszközei az adók, támogatások, minimálbérre vonatkozó előírások, a társasági formák jogszabályi feltételei, az export-import előírások stb. Sajátos szerepe van az államnak a fejlesztésben, innovációban,</w:t>
                  </w:r>
                  <w:r w:rsidR="009C602E"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t>/egy új ötlet megvalósításában/</w:t>
                  </w:r>
                  <w:r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t xml:space="preserve"> amennyiben a fejlesztési alapokkal, támogatással segítheti az innovációt, illetve olyan környezetet teremthet, ami ösztönzi az innovációt.</w:t>
                  </w:r>
                  <w:r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br/>
                  </w:r>
                  <w:r w:rsidRPr="00C05F4F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</w:rPr>
                    <w:br/>
                    <w:t>A működési feltételek szabályozásáról beszélünk továbbá, amikor az állam piackorlátozó, vagy piactámogató intézkedéseket hoz a vállalkozók, illetve a versenytársak védelmében (pl. vám, kartellellenes törvény, a hazai termékek preferálása stb.).</w:t>
                  </w:r>
                </w:p>
              </w:tc>
            </w:tr>
          </w:tbl>
          <w:p w:rsidR="00907DB0" w:rsidRPr="00C05F4F" w:rsidRDefault="00907DB0" w:rsidP="009C602E">
            <w:pPr>
              <w:spacing w:after="240" w:line="225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907DB0" w:rsidRPr="00C05F4F" w:rsidRDefault="00907DB0" w:rsidP="009C602E">
      <w:pPr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</w:pPr>
      <w:r w:rsidRPr="00C05F4F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 </w:t>
      </w:r>
      <w:r w:rsidR="009C602E" w:rsidRPr="00C05F4F">
        <w:rPr>
          <w:rStyle w:val="Kiemels2"/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 kormány vállalkozásbarát környezetet teremthet, amennyiben:</w:t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    folyamatosan kiépíti a piaci infrastruktúrát,</w:t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    rendszeresen információkhoz juttatja a vállalkozókat,</w:t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    különböző pályázatokon keresztül fejlesztési alapokat allokál a vállalkozók között,</w:t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    csökkenti a bürokráciát,</w:t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9C602E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    fejlesztési, innovációs centrumokat hoz létre stb.</w:t>
      </w:r>
    </w:p>
    <w:p w:rsidR="00784258" w:rsidRPr="00C05F4F" w:rsidRDefault="009C602E" w:rsidP="009C602E">
      <w:pPr>
        <w:rPr>
          <w:rFonts w:ascii="Times New Roman" w:hAnsi="Times New Roman" w:cs="Times New Roman"/>
          <w:b/>
          <w:color w:val="002060"/>
          <w:sz w:val="24"/>
          <w:szCs w:val="24"/>
          <w:shd w:val="clear" w:color="auto" w:fill="FFFFFF"/>
        </w:rPr>
      </w:pPr>
      <w:r w:rsidRPr="00C05F4F">
        <w:rPr>
          <w:rFonts w:ascii="Times New Roman" w:hAnsi="Times New Roman" w:cs="Times New Roman"/>
          <w:b/>
          <w:color w:val="002060"/>
          <w:sz w:val="24"/>
          <w:szCs w:val="24"/>
          <w:shd w:val="clear" w:color="auto" w:fill="FFFFFF"/>
        </w:rPr>
        <w:t>A vállalkozás</w:t>
      </w:r>
      <w:r w:rsidR="00784258" w:rsidRPr="00C05F4F">
        <w:rPr>
          <w:rFonts w:ascii="Times New Roman" w:hAnsi="Times New Roman" w:cs="Times New Roman"/>
          <w:b/>
          <w:color w:val="002060"/>
          <w:sz w:val="24"/>
          <w:szCs w:val="24"/>
          <w:shd w:val="clear" w:color="auto" w:fill="FFFFFF"/>
        </w:rPr>
        <w:t xml:space="preserve"> </w:t>
      </w:r>
      <w:r w:rsidRPr="00C05F4F">
        <w:rPr>
          <w:rFonts w:ascii="Times New Roman" w:hAnsi="Times New Roman" w:cs="Times New Roman"/>
          <w:b/>
          <w:color w:val="002060"/>
          <w:sz w:val="24"/>
          <w:szCs w:val="24"/>
          <w:shd w:val="clear" w:color="auto" w:fill="FFFFFF"/>
        </w:rPr>
        <w:t>vagyoni helyzetét befolyásoló tényezők:</w:t>
      </w:r>
    </w:p>
    <w:tbl>
      <w:tblPr>
        <w:tblW w:w="3092" w:type="dxa"/>
        <w:tblCellSpacing w:w="15" w:type="dxa"/>
        <w:tblInd w:w="-8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2"/>
      </w:tblGrid>
      <w:tr w:rsidR="00C05F4F" w:rsidRPr="00C05F4F" w:rsidTr="00784258">
        <w:trPr>
          <w:tblCellSpacing w:w="15" w:type="dxa"/>
        </w:trPr>
        <w:tc>
          <w:tcPr>
            <w:tcW w:w="4903" w:type="pct"/>
            <w:shd w:val="clear" w:color="auto" w:fill="FFFFFF"/>
            <w:vAlign w:val="bottom"/>
            <w:hideMark/>
          </w:tcPr>
          <w:p w:rsidR="00784258" w:rsidRPr="00C05F4F" w:rsidRDefault="00784258" w:rsidP="00784258">
            <w:pPr>
              <w:spacing w:after="0" w:line="225" w:lineRule="atLeast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05F4F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-</w:t>
            </w:r>
            <w:r w:rsidRPr="00C05F4F"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</w:rPr>
              <w:t xml:space="preserve">A vállalkozások adózása </w:t>
            </w:r>
          </w:p>
        </w:tc>
      </w:tr>
    </w:tbl>
    <w:p w:rsidR="00784258" w:rsidRPr="00C05F4F" w:rsidRDefault="00784258" w:rsidP="00784258">
      <w:pPr>
        <w:spacing w:after="0" w:line="240" w:lineRule="auto"/>
        <w:rPr>
          <w:rFonts w:ascii="Times New Roman" w:eastAsia="Times New Roman" w:hAnsi="Times New Roman" w:cs="Times New Roman"/>
          <w:vanish/>
          <w:color w:val="002060"/>
          <w:sz w:val="24"/>
          <w:szCs w:val="24"/>
        </w:rPr>
      </w:pPr>
    </w:p>
    <w:tbl>
      <w:tblPr>
        <w:tblW w:w="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05F4F" w:rsidRPr="00C05F4F" w:rsidTr="0078425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84258" w:rsidRPr="00C05F4F" w:rsidRDefault="00784258" w:rsidP="00784258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A vállalkozó és a vállalatok tevékenységét igen sokféle adó terheli. Az adó vagy a forgalomhoz (általános forgalmi adó – ÁFA -, fogyasztási adó, iparűzési helyi adók), vagy az elért jövedelemhez (személyi jövedelemadó, társasági adó), esetenként a vagyonhoz kapcsolódik.</w:t>
            </w:r>
          </w:p>
          <w:p w:rsidR="00784258" w:rsidRPr="00C05F4F" w:rsidRDefault="00784258" w:rsidP="00784258">
            <w:pPr>
              <w:spacing w:after="75" w:line="225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C05F4F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9C602E" w:rsidRPr="00C05F4F" w:rsidRDefault="009C602E" w:rsidP="009C602E">
      <w:pPr>
        <w:rPr>
          <w:rFonts w:ascii="Times New Roman" w:hAnsi="Times New Roman" w:cs="Times New Roman"/>
          <w:b/>
          <w:color w:val="002060"/>
          <w:sz w:val="24"/>
          <w:szCs w:val="24"/>
          <w:shd w:val="clear" w:color="auto" w:fill="FFFFFF"/>
        </w:rPr>
      </w:pPr>
    </w:p>
    <w:p w:rsidR="007B4F25" w:rsidRPr="00C05F4F" w:rsidRDefault="009C602E" w:rsidP="009C602E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C05F4F">
        <w:rPr>
          <w:rStyle w:val="Kiemels2"/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 vállalkozó felelősségét az állam írja elő olyan törvényi szabályozásokkal, mint:</w:t>
      </w:r>
    </w:p>
    <w:p w:rsidR="009C602E" w:rsidRPr="00C05F4F" w:rsidRDefault="009C602E" w:rsidP="009C602E">
      <w:pPr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</w:pP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proofErr w:type="gramStart"/>
      <w:r w:rsidR="007B4F25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</w:t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</w:t>
      </w:r>
      <w:proofErr w:type="spell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termékfelelősség (amely egy gyártói vétkesség hiányában is fennálló jogi felelősség, amely a termék hibája által okozott személyi sérülésből eredő vagy vagyo</w:t>
      </w:r>
      <w:r w:rsidR="007B4F25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ni kár megtérítésére terjed ki),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="007B4F25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</w:t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</w:t>
      </w:r>
      <w:proofErr w:type="spell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minőségtanúsítás (a termék gyártójának tanúsítania kell, hogy terméke megfelel a szabványoknak; vagy az előírásoknak; a rossz minőségű termék forgalomba hozatala, a minőség hamis tanúsítása, a hamis termékjelzés a Büntető Törvénykönyvbe ütköző cselekedet),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="007B4F25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</w:t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</w:t>
      </w:r>
      <w:proofErr w:type="spell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fogyasztói érdekvédelem (a fogyasztó védelmét szolgálja a polgári jog, a kereskedelmi jog  pl. új gyártmányok megelőző minőségvizsgálatának kötelessége</w:t>
      </w:r>
      <w:proofErr w:type="gram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</w:t>
      </w:r>
      <w:proofErr w:type="gramStart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-, a büntető jog, a szabálysértési jog – pl. árellenőrzés-, és a közigazgatási jog – pl. piacfelügyelet, versenyfelügyelet),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proofErr w:type="spellStart"/>
      <w:r w:rsidR="007B4F25"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</w:t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</w:t>
      </w:r>
      <w:proofErr w:type="spell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tisztességtelen piaci magatartás tilalma (a vállalkozó köteles tiszteletben tartani a gazdasági verseny szabadságát és tisztaságát; törvény tiltja a) </w:t>
      </w:r>
      <w:proofErr w:type="spellStart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</w:t>
      </w:r>
      <w:proofErr w:type="spell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tisztességtelen versenyt, b) a fogyasztók megtévesztését, c) a gazdasági versenyt korlátozó megállapodásokat, d) a gazdasági erőfölénnyel való visszaélést),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lastRenderedPageBreak/>
        <w:br/>
      </w:r>
      <w:proofErr w:type="spellStart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-a</w:t>
      </w:r>
      <w:proofErr w:type="spellEnd"/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 szavatosság és a jótállás intézménye (hibás teljesítés esetén a hiba díjtalan kijavítása).</w:t>
      </w:r>
      <w:proofErr w:type="gramEnd"/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Az állam szabályozza a vállalkozások és a külső érintettek kapcsolatait is. Klasszikus eszköz a versenyszabályozás, a környezetvédelem, valamint a közigazgatás és a vállalkozások közötti kapcsolatok szabályozása.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Az állam a vállalkozás működési feltételeit a piacgazdaság törvényszerűségeinek figyelembevételével – az alkotmány keretei között – kizárólag jogszabályi úton határozza meg.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 törvények, jogszabályok érvényre juttatását szakképzett és megfelelő hatáskörrel rendelkező ellenőrző szervekre, jogintézményekre bízza.</w:t>
      </w:r>
      <w:r w:rsidRPr="00C05F4F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C05F4F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A gazdaság fejlesztésével, támogatásával, általános érdekeinek előmozdításával kapcsolatos tevékenységeket a gazdaság szereplői által alapított, az állami igazgatás szerveitől elkülönülten működő gazdasági kamarák végzik.</w:t>
      </w:r>
      <w:bookmarkEnd w:id="0"/>
    </w:p>
    <w:sectPr w:rsidR="009C602E" w:rsidRPr="00C05F4F" w:rsidSect="00D45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F0168"/>
    <w:multiLevelType w:val="hybridMultilevel"/>
    <w:tmpl w:val="18A4C02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7DE21D5"/>
    <w:multiLevelType w:val="hybridMultilevel"/>
    <w:tmpl w:val="31FA8BAC"/>
    <w:lvl w:ilvl="0" w:tplc="552E5F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EA746D"/>
    <w:multiLevelType w:val="hybridMultilevel"/>
    <w:tmpl w:val="5BAC356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B0"/>
    <w:rsid w:val="006E4000"/>
    <w:rsid w:val="006E7805"/>
    <w:rsid w:val="00784258"/>
    <w:rsid w:val="007B4F25"/>
    <w:rsid w:val="00907DB0"/>
    <w:rsid w:val="009A063A"/>
    <w:rsid w:val="009C602E"/>
    <w:rsid w:val="00C05F4F"/>
    <w:rsid w:val="00D4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0091B-F28E-475E-A92D-3F8B90BA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907DB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90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907DB0"/>
    <w:rPr>
      <w:b/>
      <w:bCs/>
    </w:rPr>
  </w:style>
  <w:style w:type="character" w:customStyle="1" w:styleId="articleseparator">
    <w:name w:val="article_separator"/>
    <w:basedOn w:val="Bekezdsalapbettpusa"/>
    <w:rsid w:val="00907DB0"/>
  </w:style>
  <w:style w:type="paragraph" w:styleId="Buborkszveg">
    <w:name w:val="Balloon Text"/>
    <w:basedOn w:val="Norml"/>
    <w:link w:val="BuborkszvegChar"/>
    <w:uiPriority w:val="99"/>
    <w:semiHidden/>
    <w:unhideWhenUsed/>
    <w:rsid w:val="00C0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05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Krisztina</dc:creator>
  <cp:lastModifiedBy>x</cp:lastModifiedBy>
  <cp:revision>4</cp:revision>
  <cp:lastPrinted>2015-01-28T22:31:00Z</cp:lastPrinted>
  <dcterms:created xsi:type="dcterms:W3CDTF">2015-01-28T21:56:00Z</dcterms:created>
  <dcterms:modified xsi:type="dcterms:W3CDTF">2015-01-28T22:34:00Z</dcterms:modified>
</cp:coreProperties>
</file>